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BC" w:rsidRPr="004C44EC" w:rsidRDefault="00585506" w:rsidP="00844FBC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2 CFR 200 Uniform Administrative </w:t>
      </w:r>
      <w:r w:rsidR="00DB5207">
        <w:rPr>
          <w:sz w:val="18"/>
          <w:szCs w:val="18"/>
        </w:rPr>
        <w:t>Requirements</w:t>
      </w:r>
      <w:r>
        <w:rPr>
          <w:sz w:val="18"/>
          <w:szCs w:val="18"/>
        </w:rPr>
        <w:t>, Cost Principles</w:t>
      </w:r>
      <w:r w:rsidR="00AE492D" w:rsidRPr="009F4551">
        <w:rPr>
          <w:sz w:val="18"/>
          <w:szCs w:val="18"/>
        </w:rPr>
        <w:t>,</w:t>
      </w:r>
      <w:r>
        <w:rPr>
          <w:sz w:val="18"/>
          <w:szCs w:val="18"/>
        </w:rPr>
        <w:t xml:space="preserve"> and Audit </w:t>
      </w:r>
      <w:r w:rsidR="00DB5207">
        <w:rPr>
          <w:sz w:val="18"/>
          <w:szCs w:val="18"/>
        </w:rPr>
        <w:t>Requirements</w:t>
      </w:r>
      <w:r>
        <w:rPr>
          <w:sz w:val="18"/>
          <w:szCs w:val="18"/>
        </w:rPr>
        <w:t xml:space="preserve"> for Federal Awards states administrative costs should normally be treated as indirect (F&amp;A) costs. </w:t>
      </w:r>
      <w:r w:rsidR="003D6CEB">
        <w:rPr>
          <w:sz w:val="18"/>
          <w:szCs w:val="18"/>
        </w:rPr>
        <w:t>However, there are situations where</w:t>
      </w:r>
      <w:r w:rsidR="0054533E">
        <w:rPr>
          <w:sz w:val="18"/>
          <w:szCs w:val="18"/>
        </w:rPr>
        <w:t xml:space="preserve"> direct charging administrative </w:t>
      </w:r>
      <w:r w:rsidR="003D6CEB">
        <w:rPr>
          <w:sz w:val="18"/>
          <w:szCs w:val="18"/>
        </w:rPr>
        <w:t xml:space="preserve">charges may be appropriate when justified and approved in advance.  </w:t>
      </w:r>
      <w:r>
        <w:rPr>
          <w:sz w:val="18"/>
          <w:szCs w:val="18"/>
        </w:rPr>
        <w:t xml:space="preserve">Charging </w:t>
      </w:r>
      <w:r w:rsidR="00DB5207">
        <w:rPr>
          <w:sz w:val="18"/>
          <w:szCs w:val="18"/>
        </w:rPr>
        <w:t>administrative</w:t>
      </w:r>
      <w:r>
        <w:rPr>
          <w:sz w:val="18"/>
          <w:szCs w:val="18"/>
        </w:rPr>
        <w:t xml:space="preserve"> costs to federal awards can be done in one of two ways:  </w:t>
      </w:r>
      <w:r w:rsidR="003D6CEB">
        <w:rPr>
          <w:sz w:val="18"/>
          <w:szCs w:val="18"/>
        </w:rPr>
        <w:t>First</w:t>
      </w:r>
      <w:r w:rsidR="0054533E">
        <w:rPr>
          <w:sz w:val="18"/>
          <w:szCs w:val="18"/>
        </w:rPr>
        <w:t>,</w:t>
      </w:r>
      <w:r w:rsidR="003D6CEB">
        <w:rPr>
          <w:sz w:val="18"/>
          <w:szCs w:val="18"/>
        </w:rPr>
        <w:t xml:space="preserve"> by </w:t>
      </w:r>
      <w:r>
        <w:rPr>
          <w:sz w:val="18"/>
          <w:szCs w:val="18"/>
        </w:rPr>
        <w:t>disclosing the administrative costs in the proposal which must include detailing costs in the budget by types</w:t>
      </w:r>
      <w:r w:rsidR="007E0E65">
        <w:rPr>
          <w:sz w:val="18"/>
          <w:szCs w:val="18"/>
        </w:rPr>
        <w:t xml:space="preserve"> and amounts </w:t>
      </w:r>
      <w:r>
        <w:rPr>
          <w:sz w:val="18"/>
          <w:szCs w:val="18"/>
        </w:rPr>
        <w:t>and in th</w:t>
      </w:r>
      <w:r w:rsidR="007E0E65">
        <w:rPr>
          <w:sz w:val="18"/>
          <w:szCs w:val="18"/>
        </w:rPr>
        <w:t xml:space="preserve">e written budget narrative. </w:t>
      </w:r>
      <w:r w:rsidR="003D6CEB">
        <w:rPr>
          <w:sz w:val="18"/>
          <w:szCs w:val="18"/>
        </w:rPr>
        <w:t>Secondly, i</w:t>
      </w:r>
      <w:r w:rsidR="007E0E65">
        <w:rPr>
          <w:sz w:val="18"/>
          <w:szCs w:val="18"/>
        </w:rPr>
        <w:t>f</w:t>
      </w:r>
      <w:r w:rsidR="0054533E">
        <w:rPr>
          <w:sz w:val="18"/>
          <w:szCs w:val="18"/>
        </w:rPr>
        <w:t xml:space="preserve"> not identified in the proposal</w:t>
      </w:r>
      <w:r w:rsidR="00DB520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E0E65">
        <w:rPr>
          <w:sz w:val="18"/>
          <w:szCs w:val="18"/>
        </w:rPr>
        <w:t xml:space="preserve">then </w:t>
      </w:r>
      <w:r>
        <w:rPr>
          <w:sz w:val="18"/>
          <w:szCs w:val="18"/>
        </w:rPr>
        <w:t xml:space="preserve">written approval from the </w:t>
      </w:r>
      <w:r w:rsidR="00DB5207">
        <w:rPr>
          <w:sz w:val="18"/>
          <w:szCs w:val="18"/>
        </w:rPr>
        <w:t>sponsor must</w:t>
      </w:r>
      <w:r w:rsidR="007E0E65">
        <w:rPr>
          <w:sz w:val="18"/>
          <w:szCs w:val="18"/>
        </w:rPr>
        <w:t xml:space="preserve"> be obtained by the Post Award Associate to rebudget funds for</w:t>
      </w:r>
      <w:r w:rsidR="00DB5207">
        <w:rPr>
          <w:sz w:val="18"/>
          <w:szCs w:val="18"/>
        </w:rPr>
        <w:t xml:space="preserve"> administrative costs.</w:t>
      </w:r>
      <w:r w:rsidR="003D6CEB">
        <w:rPr>
          <w:sz w:val="18"/>
          <w:szCs w:val="18"/>
        </w:rPr>
        <w:t xml:space="preserve">  In both situations</w:t>
      </w:r>
      <w:r w:rsidR="0054533E">
        <w:rPr>
          <w:sz w:val="18"/>
          <w:szCs w:val="18"/>
        </w:rPr>
        <w:t>,</w:t>
      </w:r>
      <w:r w:rsidR="003D6CEB">
        <w:rPr>
          <w:sz w:val="18"/>
          <w:szCs w:val="18"/>
        </w:rPr>
        <w:t xml:space="preserve"> a Form B must be completed and approved.</w:t>
      </w:r>
      <w:r>
        <w:rPr>
          <w:sz w:val="18"/>
          <w:szCs w:val="18"/>
        </w:rPr>
        <w:t xml:space="preserve">  </w:t>
      </w:r>
      <w:r w:rsidR="00844FBC" w:rsidRPr="00844FBC">
        <w:rPr>
          <w:b/>
          <w:sz w:val="18"/>
          <w:szCs w:val="18"/>
        </w:rPr>
        <w:t>NOTE:</w:t>
      </w:r>
      <w:r w:rsidR="00844FBC">
        <w:rPr>
          <w:sz w:val="18"/>
          <w:szCs w:val="18"/>
        </w:rPr>
        <w:t xml:space="preserve"> </w:t>
      </w:r>
      <w:r w:rsidR="0069613C">
        <w:rPr>
          <w:b/>
          <w:sz w:val="18"/>
          <w:szCs w:val="18"/>
        </w:rPr>
        <w:t>Signature</w:t>
      </w:r>
      <w:r w:rsidR="00844FBC" w:rsidRPr="004C44EC">
        <w:rPr>
          <w:b/>
          <w:sz w:val="18"/>
          <w:szCs w:val="18"/>
        </w:rPr>
        <w:t xml:space="preserve"> by </w:t>
      </w:r>
      <w:r w:rsidR="0069613C">
        <w:rPr>
          <w:b/>
          <w:sz w:val="18"/>
          <w:szCs w:val="18"/>
        </w:rPr>
        <w:t>OSP</w:t>
      </w:r>
      <w:r w:rsidR="00844FBC">
        <w:rPr>
          <w:b/>
          <w:sz w:val="18"/>
          <w:szCs w:val="18"/>
        </w:rPr>
        <w:t xml:space="preserve"> on this form </w:t>
      </w:r>
      <w:r w:rsidR="00844FBC" w:rsidRPr="004C44EC">
        <w:rPr>
          <w:b/>
          <w:sz w:val="18"/>
          <w:szCs w:val="18"/>
        </w:rPr>
        <w:t xml:space="preserve">does not preclude </w:t>
      </w:r>
      <w:r w:rsidR="00844FBC">
        <w:rPr>
          <w:b/>
          <w:sz w:val="18"/>
          <w:szCs w:val="18"/>
        </w:rPr>
        <w:t xml:space="preserve">sponsors </w:t>
      </w:r>
      <w:r w:rsidR="00844FBC" w:rsidRPr="004C44EC">
        <w:rPr>
          <w:b/>
          <w:sz w:val="18"/>
          <w:szCs w:val="18"/>
        </w:rPr>
        <w:t>from disallowing these costs in an audit</w:t>
      </w:r>
      <w:r w:rsidR="00844FBC">
        <w:rPr>
          <w:b/>
          <w:sz w:val="18"/>
          <w:szCs w:val="18"/>
        </w:rPr>
        <w:t xml:space="preserve"> which would require the costs be transferred to a non-sponsored fund as a disallowed cost. </w:t>
      </w:r>
    </w:p>
    <w:p w:rsidR="008D6925" w:rsidRPr="009F4551" w:rsidRDefault="008D6925" w:rsidP="008D6925">
      <w:pPr>
        <w:spacing w:line="240" w:lineRule="auto"/>
        <w:contextualSpacing/>
        <w:rPr>
          <w:sz w:val="18"/>
          <w:szCs w:val="18"/>
        </w:rPr>
      </w:pPr>
    </w:p>
    <w:p w:rsidR="00C855FC" w:rsidRDefault="008431CA" w:rsidP="008D6925">
      <w:pPr>
        <w:spacing w:line="240" w:lineRule="auto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3175</wp:posOffset>
                </wp:positionV>
                <wp:extent cx="195262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CA" w:rsidRPr="008431CA" w:rsidRDefault="008431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1.5pt;margin-top:.25pt;width:153.7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Z3kgIAALIFAAAOAAAAZHJzL2Uyb0RvYy54bWysVN9PGzEMfp+0/yHK+7i2o1AqrqgDMU1C&#10;gAYTz2kuoRG5OEvS3nV//ezctZQfL0x7ubPjz479xfbpWVtbtlYhGnAlHx4MOFNOQmXcY8l/3V9+&#10;mXAWk3CVsOBUyTcq8rPZ50+njZ+qESzBViowDOLitPElX6bkp0UR5VLVIh6AVw6NGkItEqrhsaiC&#10;aDB6bYvRYHBUNBAqH0CqGPH0ojPyWY6vtZLpRuuoErMlx9xS/ob8XdC3mJ2K6WMQfmlkn4b4hyxq&#10;YRxeugt1IZJgq2DehKqNDBBBpwMJdQFaG6lyDVjNcPCqmrul8CrXguREv6Mp/r+w8np9G5ipSo4P&#10;5USNT3Sv2sS+QcsmxE7j4xRBdx5hqcVjfOXtecRDKrrVoaY/lsPQjjxvdtxSMElOJ+PR0WjMmUTb&#10;aDI+Hmfyi2dvH2L6rqBmJJQ84NtlSsX6KibMBKFbCF0WwZrq0libFeoXdW4DWwt8aZtyjujxAmUd&#10;a0p+9BWvfhOBQu/8F1bIJ6ryZQTUrCNPlTurT4sY6pjIUtpYRRjrfiqNzGZC3slRSKncLs+MJpTG&#10;ij7i2OOfs/qIc1cHeuSbwaWdc20chI6ll9RWT1tqdYdHkvbqJjG1i7bvnAVUG2ycAN3gRS8vDRJ9&#10;JWK6FQEnDXsFt0e6wY+2gK8DvcTZEsKf984JjwOAVs4anNySx98rERRn9ofD0TgZHh7SqGflcHw8&#10;QiXsWxb7FreqzwFbZoh7ysssEj7ZragD1A+4ZOZ0K5qEk3h3ydNWPE/dPsElJdV8nkE43F6kK3fn&#10;JYUmeqnB7tsHEXzf4AlH4xq2My6mr/q8w5Kng/kqgTZ5CIjgjtWeeFwMuU/7JUabZ1/PqOdVO/sL&#10;AAD//wMAUEsDBBQABgAIAAAAIQB/7zbS3AAAAAgBAAAPAAAAZHJzL2Rvd25yZXYueG1sTI/BTsMw&#10;EETvSPyDtUjcqEMhJU3jVIAKl54oqGc33toW8Tqy3TT8Pe4JbrOa1cybZj25no0YovUk4H5WAEPq&#10;vLKkBXx9vt1VwGKSpGTvCQX8YIR1e33VyFr5M33guEua5RCKtRRgUhpqzmNn0Mk48wNS9o4+OJny&#10;GTRXQZ5zuOv5vCgW3ElLucHIAV8Ndt+7kxOwedFL3VUymE2lrB2n/XGr34W4vZmeV8ASTunvGS74&#10;GR3azHTwJ1KR9QKWi4e8JQkogV3s+VOR1UHAY1kCbxv+f0D7CwAA//8DAFBLAQItABQABgAIAAAA&#10;IQC2gziS/gAAAOEBAAATAAAAAAAAAAAAAAAAAAAAAABbQ29udGVudF9UeXBlc10ueG1sUEsBAi0A&#10;FAAGAAgAAAAhADj9If/WAAAAlAEAAAsAAAAAAAAAAAAAAAAALwEAAF9yZWxzLy5yZWxzUEsBAi0A&#10;FAAGAAgAAAAhAHHipneSAgAAsgUAAA4AAAAAAAAAAAAAAAAALgIAAGRycy9lMm9Eb2MueG1sUEsB&#10;Ai0AFAAGAAgAAAAhAH/vNtLcAAAACAEAAA8AAAAAAAAAAAAAAAAA7AQAAGRycy9kb3ducmV2Lnht&#10;bFBLBQYAAAAABAAEAPMAAAD1BQAAAAA=&#10;" fillcolor="white [3201]" strokeweight=".5pt">
                <v:textbox>
                  <w:txbxContent>
                    <w:p w:rsidR="008431CA" w:rsidRPr="008431CA" w:rsidRDefault="008431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3175</wp:posOffset>
                </wp:positionV>
                <wp:extent cx="160972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CA" w:rsidRPr="008431CA" w:rsidRDefault="008431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4pt;margin-top:.25pt;width:126.7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1VlAIAALkFAAAOAAAAZHJzL2Uyb0RvYy54bWysVEtPGzEQvlfqf7B8L5sXpERsUAqiqoQA&#10;FSrOjtdOLGyPazvZTX89Y+9mCZQLVS+7Y883r88zc3beGE22wgcFtqTDowElwnKolF2V9NfD1Zev&#10;lITIbMU0WFHSnQj0fP7501ntZmIEa9CV8ASd2DCrXUnXMbpZUQS+FoaFI3DColKCNyzi0a+KyrMa&#10;vRtdjAaDk6IGXzkPXISAt5etks6zfykFj7dSBhGJLinmFvPX5+8yfYv5GZutPHNrxbs02D9kYZiy&#10;GLR3dckiIxuv/nJlFPcQQMYjDqYAKRUXuQasZjh4U839mjmRa0FygutpCv/PLb/Z3nmiqpJOKbHM&#10;4BM9iCaSb9CQaWKndmGGoHuHsNjgNb7y/j7gZSq6kd6kP5ZDUI8873pukzOejE4Gp9PRMSUcdePh&#10;ZIwyui9erJ0P8bsAQ5JQUo9vlyll2+sQW+gekoIF0Kq6UlrnQ+oXcaE92TJ8aR1zjuj8FUpbUpf0&#10;ZHw8yI5f6ZLr3n6pGX/q0jtAoT9tUziRO6tLKzHUMpGluNMiYbT9KSQymwl5J0fGubB9nhmdUBIr&#10;+ohhh3/J6iPGbR1okSODjb2xURZ8y9JraqunPbWyxeMbHtSdxNgsm9xSfaMsodph/3ho5y84fqWQ&#10;72sW4h3zOHDYMrhE4i1+pAZ8JOgkStbg/7x3n/A4B6ilpMYBLmn4vWFeUKJ/WJyQ0+FkkiY+HybH&#10;0xEe/KFmeaixG3MB2DlDXFeOZzHho96L0oN5xF2zSFFRxSzH2CWNe/EitmsFdxUXi0UG4Yw7Fq/t&#10;vePJdWI59dlD88i86/o84oTcwH7U2exNu7fYZGlhsYkgVZ6FxHPLasc/7oc8Td0uSwvo8JxRLxt3&#10;/gwAAP//AwBQSwMEFAAGAAgAAAAhAIiZV/XZAAAABwEAAA8AAABkcnMvZG93bnJldi54bWxMj8FO&#10;wzAQRO9I/IO1lbhRuwiQCXEqQIULJ1rEeRu7ttXYjmw3DX/PcoLbjGY1+6Zdz2Fgk8nFp6hgtRTA&#10;TOyT9tEq+Ny9XktgpWLUOKRoFHybAuvu8qLFRqdz/DDTtlpGJbE0qMDVOjacl96ZgGWZRhMpO6Qc&#10;sJLNluuMZyoPA78R4p4H9JE+OBzNizP9cXsKCjbP9sH2ErPbSO39NH8d3u2bUleL+ekRWDVz/TuG&#10;X3xCh46Y9ukUdWGDgjspaUslAYxiebsisScrBPCu5f/5ux8AAAD//wMAUEsBAi0AFAAGAAgAAAAh&#10;ALaDOJL+AAAA4QEAABMAAAAAAAAAAAAAAAAAAAAAAFtDb250ZW50X1R5cGVzXS54bWxQSwECLQAU&#10;AAYACAAAACEAOP0h/9YAAACUAQAACwAAAAAAAAAAAAAAAAAvAQAAX3JlbHMvLnJlbHNQSwECLQAU&#10;AAYACAAAACEAVsvdVZQCAAC5BQAADgAAAAAAAAAAAAAAAAAuAgAAZHJzL2Uyb0RvYy54bWxQSwEC&#10;LQAUAAYACAAAACEAiJlX9dkAAAAHAQAADwAAAAAAAAAAAAAAAADuBAAAZHJzL2Rvd25yZXYueG1s&#10;UEsFBgAAAAAEAAQA8wAAAPQFAAAAAA==&#10;" fillcolor="white [3201]" strokeweight=".5pt">
                <v:textbox>
                  <w:txbxContent>
                    <w:p w:rsidR="008431CA" w:rsidRPr="008431CA" w:rsidRDefault="008431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3175</wp:posOffset>
                </wp:positionV>
                <wp:extent cx="8763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CA" w:rsidRPr="008431CA" w:rsidRDefault="008431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7.75pt;margin-top:.25pt;width:6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mZlQIAALgFAAAOAAAAZHJzL2Uyb0RvYy54bWysVE1PGzEQvVfqf7B8L5sEkt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KqkE0os&#10;M/hE96KJ5Bs0ZJLYqV2YIWjpEBYbvMZX7u8DXqaiG+lN+mM5BPXI827PbXLG8fJ0OjkeoIajajSe&#10;Dqfj5KV4MXY+xO8CDElCST0+XWaUba9DbKE9JMUKoFV1pbTOh9Qu4kJ7smX40DrmFNH5K5S2pMY6&#10;j8eD7PiVLrne2680409degco9KdtCidyY3VpJYJaIrIUd1okjLY/hURiMx/v5Mg4F3afZ0YnlMSK&#10;PmLY4V+y+ohxWwda5Mhg497YKAu+Zek1tdVTT61s8fiGB3UnMTarJnfUqO+TFVQ7bB8P7fgFx68U&#10;8n3NQrxjHucN+wJ3SLzFj9SAjwSdRMka/J/37hMexwC1lNQ4vyUNvzfMC0r0D4sD8nV4cpIGPh9O&#10;xtMRHvyhZnWosRtzAdg5Q9xWjmcx4aPuRenBPOCqWaSoqGKWY+ySxl68iO1WwVXFxWKRQTjijsVr&#10;u3Q8uU4spz67bx6Yd12fRxyQG+gnnc3etHuLTZYWFpsIUuVZSDy3rHb843rI09StsrR/Ds8Z9bJw&#10;588AAAD//wMAUEsDBBQABgAIAAAAIQBW2Htg2wAAAAcBAAAPAAAAZHJzL2Rvd25yZXYueG1sTI7B&#10;TsMwEETvSPyDtUjcqNOGQgjZVIAKF04UxNmNt3ZEbEe2m4a/ZznBZbSjGc2+ZjO7QUwUUx88wnJR&#10;gCDfBd17g/Dx/nxVgUhZea2G4AnhmxJs2vOzRtU6nPwbTbtsBI/4VCsEm/NYS5k6S06lRRjJc3YI&#10;0anMNhqpozrxuBvkqihupFO95w9WjfRkqfvaHR3C9tHcma5S0W4r3ffT/Hl4NS+Ilxfzwz2ITHP+&#10;K8MvPqNDy0z7cPQ6iQFhVa7XXEVg5bi8LfnYI1wvC5BtI//ztz8AAAD//wMAUEsBAi0AFAAGAAgA&#10;AAAhALaDOJL+AAAA4QEAABMAAAAAAAAAAAAAAAAAAAAAAFtDb250ZW50X1R5cGVzXS54bWxQSwEC&#10;LQAUAAYACAAAACEAOP0h/9YAAACUAQAACwAAAAAAAAAAAAAAAAAvAQAAX3JlbHMvLnJlbHNQSwEC&#10;LQAUAAYACAAAACEA5WC5mZUCAAC4BQAADgAAAAAAAAAAAAAAAAAuAgAAZHJzL2Uyb0RvYy54bWxQ&#10;SwECLQAUAAYACAAAACEAVth7YNsAAAAHAQAADwAAAAAAAAAAAAAAAADvBAAAZHJzL2Rvd25yZXYu&#10;eG1sUEsFBgAAAAAEAAQA8wAAAPcFAAAAAA==&#10;" fillcolor="white [3201]" strokeweight=".5pt">
                <v:textbox>
                  <w:txbxContent>
                    <w:p w:rsidR="008431CA" w:rsidRPr="008431CA" w:rsidRDefault="008431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925" w:rsidRPr="00601371">
        <w:rPr>
          <w:b/>
        </w:rPr>
        <w:t>Proposal No.</w:t>
      </w:r>
      <w:r>
        <w:rPr>
          <w:b/>
        </w:rPr>
        <w:t xml:space="preserve"> or </w:t>
      </w:r>
      <w:r w:rsidR="008D6925" w:rsidRPr="00601371">
        <w:rPr>
          <w:b/>
        </w:rPr>
        <w:t>Fund No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   </w:t>
      </w:r>
      <w:r w:rsidR="003D0C33" w:rsidRPr="00601371">
        <w:rPr>
          <w:b/>
        </w:rPr>
        <w:t>Principal Investigator</w:t>
      </w:r>
      <w:r w:rsidR="001146F4">
        <w:t>:</w:t>
      </w:r>
      <w:r w:rsidR="001146F4">
        <w:tab/>
      </w:r>
      <w:r w:rsidR="001146F4">
        <w:tab/>
      </w:r>
      <w:r w:rsidR="003D0C33" w:rsidRPr="00601371">
        <w:tab/>
      </w:r>
      <w:r w:rsidR="003D0C33" w:rsidRPr="00601371">
        <w:tab/>
      </w:r>
      <w:r w:rsidR="003D0C33" w:rsidRPr="00601371">
        <w:rPr>
          <w:b/>
        </w:rPr>
        <w:t>Sponsor</w:t>
      </w:r>
      <w:r w:rsidR="001146F4">
        <w:rPr>
          <w:b/>
        </w:rPr>
        <w:t>:</w:t>
      </w:r>
      <w:r w:rsidR="003D0C33" w:rsidRPr="00601371">
        <w:t xml:space="preserve"> </w:t>
      </w:r>
    </w:p>
    <w:p w:rsidR="001146F4" w:rsidRPr="009F4551" w:rsidRDefault="001146F4" w:rsidP="008D6925">
      <w:pPr>
        <w:spacing w:line="240" w:lineRule="auto"/>
        <w:contextualSpacing/>
        <w:rPr>
          <w:sz w:val="18"/>
          <w:szCs w:val="18"/>
        </w:rPr>
      </w:pPr>
    </w:p>
    <w:p w:rsidR="00AE1F30" w:rsidRPr="009D07F7" w:rsidRDefault="00AE1F30" w:rsidP="005823D4">
      <w:pPr>
        <w:spacing w:line="240" w:lineRule="auto"/>
        <w:contextualSpacing/>
        <w:rPr>
          <w:b/>
          <w:sz w:val="18"/>
          <w:szCs w:val="18"/>
        </w:rPr>
      </w:pPr>
      <w:r w:rsidRPr="009D07F7">
        <w:rPr>
          <w:b/>
        </w:rPr>
        <w:t>Section I</w:t>
      </w:r>
      <w:r w:rsidR="005911C7" w:rsidRPr="009D07F7">
        <w:rPr>
          <w:b/>
        </w:rPr>
        <w:t>:</w:t>
      </w:r>
      <w:r w:rsidRPr="009D07F7">
        <w:rPr>
          <w:b/>
        </w:rPr>
        <w:t xml:space="preserve"> </w:t>
      </w:r>
      <w:r w:rsidR="000B6DA2">
        <w:rPr>
          <w:b/>
        </w:rPr>
        <w:t>Guidelines and Requirements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E1F30" w:rsidRPr="009F4551" w:rsidTr="005823D4">
        <w:tc>
          <w:tcPr>
            <w:tcW w:w="13176" w:type="dxa"/>
            <w:shd w:val="clear" w:color="auto" w:fill="BFBFBF" w:themeFill="background1" w:themeFillShade="BF"/>
          </w:tcPr>
          <w:p w:rsidR="00AE1F30" w:rsidRPr="009F4551" w:rsidRDefault="00AE1F30" w:rsidP="008E413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Departmental </w:t>
            </w:r>
            <w:r w:rsidR="008E413B">
              <w:rPr>
                <w:b/>
                <w:sz w:val="18"/>
                <w:szCs w:val="18"/>
              </w:rPr>
              <w:t xml:space="preserve">Facilities and </w:t>
            </w:r>
            <w:r w:rsidRPr="009F4551">
              <w:rPr>
                <w:b/>
                <w:sz w:val="18"/>
                <w:szCs w:val="18"/>
              </w:rPr>
              <w:t xml:space="preserve">Administrative </w:t>
            </w:r>
            <w:r>
              <w:rPr>
                <w:b/>
                <w:sz w:val="18"/>
                <w:szCs w:val="18"/>
              </w:rPr>
              <w:t>Expenses</w:t>
            </w:r>
          </w:p>
        </w:tc>
      </w:tr>
      <w:tr w:rsidR="00AE1F30" w:rsidRPr="009F4551" w:rsidTr="00AE1F30">
        <w:trPr>
          <w:trHeight w:val="1340"/>
        </w:trPr>
        <w:tc>
          <w:tcPr>
            <w:tcW w:w="13176" w:type="dxa"/>
          </w:tcPr>
          <w:p w:rsidR="000B6DA2" w:rsidRDefault="000B6DA2" w:rsidP="007E0E65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</w:p>
          <w:p w:rsidR="000B6DA2" w:rsidRDefault="000B6DA2" w:rsidP="007E0E65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t>Uniform Guidance (UG) Administrative Direct Charging Requirements 2 CFR 200.413(c)</w:t>
            </w:r>
          </w:p>
          <w:p w:rsidR="007E0E65" w:rsidRPr="007E0E65" w:rsidRDefault="007E0E65" w:rsidP="007E0E65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  <w:r w:rsidRPr="007E0E65">
              <w:rPr>
                <w:rFonts w:cstheme="minorHAnsi"/>
                <w:sz w:val="18"/>
                <w:szCs w:val="18"/>
              </w:rPr>
              <w:t xml:space="preserve">The salaries of administrative and clerical staff should normally be treated as indirect (F&amp;A) costs. Direct charging of these costs may be appropriate </w:t>
            </w:r>
            <w:r w:rsidRPr="009F656B">
              <w:rPr>
                <w:rFonts w:cstheme="minorHAnsi"/>
                <w:b/>
                <w:sz w:val="18"/>
                <w:szCs w:val="18"/>
                <w:u w:val="single"/>
              </w:rPr>
              <w:t>only if all</w:t>
            </w:r>
            <w:r w:rsidRPr="007E0E65">
              <w:rPr>
                <w:rFonts w:cstheme="minorHAnsi"/>
                <w:sz w:val="18"/>
                <w:szCs w:val="18"/>
              </w:rPr>
              <w:t xml:space="preserve"> of the following conditions are met:</w:t>
            </w:r>
          </w:p>
          <w:p w:rsidR="007E0E65" w:rsidRPr="007E0E65" w:rsidRDefault="007E0E65" w:rsidP="007E0E65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  <w:r w:rsidRPr="007E0E65">
              <w:rPr>
                <w:rFonts w:cstheme="minorHAnsi"/>
                <w:sz w:val="18"/>
                <w:szCs w:val="18"/>
              </w:rPr>
              <w:t xml:space="preserve">    (1) Administrative or clerical services are integral to a project or activity;</w:t>
            </w:r>
          </w:p>
          <w:p w:rsidR="007E0E65" w:rsidRPr="007E0E65" w:rsidRDefault="007E0E65" w:rsidP="007E0E65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  <w:r w:rsidRPr="007E0E65">
              <w:rPr>
                <w:rFonts w:cstheme="minorHAnsi"/>
                <w:sz w:val="18"/>
                <w:szCs w:val="18"/>
              </w:rPr>
              <w:t xml:space="preserve">    (2) Individuals involved can be specifically identified with the project or activity;</w:t>
            </w:r>
          </w:p>
          <w:p w:rsidR="007E0E65" w:rsidRPr="007E0E65" w:rsidRDefault="007E0E65" w:rsidP="007E0E65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  <w:r w:rsidRPr="007E0E65">
              <w:rPr>
                <w:rFonts w:cstheme="minorHAnsi"/>
                <w:sz w:val="18"/>
                <w:szCs w:val="18"/>
              </w:rPr>
              <w:t xml:space="preserve">    (3) Such costs are explicitly included in the budget </w:t>
            </w:r>
            <w:r w:rsidRPr="009F656B">
              <w:rPr>
                <w:rFonts w:cstheme="minorHAnsi"/>
                <w:b/>
                <w:sz w:val="18"/>
                <w:szCs w:val="18"/>
                <w:u w:val="single"/>
              </w:rPr>
              <w:t>or</w:t>
            </w:r>
            <w:r w:rsidRPr="007E0E65">
              <w:rPr>
                <w:rFonts w:cstheme="minorHAnsi"/>
                <w:sz w:val="18"/>
                <w:szCs w:val="18"/>
              </w:rPr>
              <w:t xml:space="preserve"> have the prior written approval of the Federal awarding agency; and</w:t>
            </w:r>
          </w:p>
          <w:p w:rsidR="00AE1F30" w:rsidRDefault="007E0E65" w:rsidP="007E0E65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  <w:r w:rsidRPr="007E0E65">
              <w:rPr>
                <w:rFonts w:cstheme="minorHAnsi"/>
                <w:sz w:val="18"/>
                <w:szCs w:val="18"/>
              </w:rPr>
              <w:t xml:space="preserve">    (4) The costs are not also recovered as indirect costs.</w:t>
            </w:r>
          </w:p>
          <w:p w:rsidR="000B6DA2" w:rsidRDefault="000B6DA2" w:rsidP="000B6DA2">
            <w:pPr>
              <w:pStyle w:val="ListParagraph"/>
              <w:jc w:val="both"/>
              <w:rPr>
                <w:b/>
              </w:rPr>
            </w:pPr>
          </w:p>
          <w:p w:rsidR="00BA6697" w:rsidRDefault="00BA6697" w:rsidP="00BA6697">
            <w:pPr>
              <w:rPr>
                <w:color w:val="1F497D"/>
              </w:rPr>
            </w:pPr>
            <w:r>
              <w:rPr>
                <w:b/>
              </w:rPr>
              <w:t xml:space="preserve">               </w:t>
            </w:r>
            <w:r w:rsidR="000B6DA2">
              <w:rPr>
                <w:b/>
              </w:rPr>
              <w:t>University Policy 3240 Costing Principles for Sponsored Projects</w:t>
            </w:r>
            <w:r w:rsidR="00AC306F">
              <w:rPr>
                <w:b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http://www.policies.vt.edu/3240.pdf</w:t>
              </w:r>
            </w:hyperlink>
          </w:p>
          <w:p w:rsidR="00AC306F" w:rsidRDefault="00DB5207" w:rsidP="00DB5207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  <w:r w:rsidRPr="00DB5207">
              <w:rPr>
                <w:sz w:val="18"/>
                <w:szCs w:val="18"/>
              </w:rPr>
              <w:t xml:space="preserve">Direct costs on sponsored projects are those costs that can be clearly associated with a specific project and can be assigned easily with a </w:t>
            </w:r>
            <w:r w:rsidRPr="00DB5207">
              <w:rPr>
                <w:b/>
                <w:bCs/>
                <w:sz w:val="18"/>
                <w:szCs w:val="18"/>
              </w:rPr>
              <w:t>high degree of accuracy</w:t>
            </w:r>
            <w:r w:rsidRPr="00DB5207">
              <w:rPr>
                <w:sz w:val="18"/>
                <w:szCs w:val="18"/>
              </w:rPr>
              <w:t>. Costs incurred for the same purpose in similar circumstances must be treated consistently as either direct cost or F&amp;A cost.</w:t>
            </w:r>
            <w:r>
              <w:t xml:space="preserve"> </w:t>
            </w:r>
            <w:r w:rsidR="00AC306F" w:rsidRPr="00AC306F">
              <w:rPr>
                <w:sz w:val="18"/>
                <w:szCs w:val="18"/>
              </w:rPr>
              <w:t xml:space="preserve">As prescribed in </w:t>
            </w:r>
            <w:r w:rsidR="00AC306F" w:rsidRPr="00AC306F">
              <w:rPr>
                <w:color w:val="0000FF"/>
                <w:sz w:val="18"/>
                <w:szCs w:val="18"/>
              </w:rPr>
              <w:t>Subpart E – Cost Principles under “2 CFR Part 200</w:t>
            </w:r>
            <w:r w:rsidR="00AC306F" w:rsidRPr="00AC306F">
              <w:rPr>
                <w:sz w:val="18"/>
                <w:szCs w:val="18"/>
              </w:rPr>
              <w:t>”, for a given cost to be charged to a sponsored award the cost must be allowable, reasonable, and allocable and all of the criteria outlined in Sections 2.1</w:t>
            </w:r>
            <w:r w:rsidR="00844FBC">
              <w:rPr>
                <w:sz w:val="18"/>
                <w:szCs w:val="18"/>
              </w:rPr>
              <w:t xml:space="preserve"> Allowable, 2.2 Reasonable </w:t>
            </w:r>
            <w:r w:rsidR="00AC306F" w:rsidRPr="00AC306F">
              <w:rPr>
                <w:sz w:val="18"/>
                <w:szCs w:val="18"/>
              </w:rPr>
              <w:t xml:space="preserve">and 2.3 </w:t>
            </w:r>
            <w:r w:rsidR="00844FBC">
              <w:rPr>
                <w:sz w:val="18"/>
                <w:szCs w:val="18"/>
              </w:rPr>
              <w:t xml:space="preserve">Allocable </w:t>
            </w:r>
            <w:r w:rsidR="00AC306F" w:rsidRPr="00AC306F">
              <w:rPr>
                <w:sz w:val="18"/>
                <w:szCs w:val="18"/>
              </w:rPr>
              <w:t>must be met</w:t>
            </w:r>
            <w:r w:rsidR="00844FBC">
              <w:rPr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AC306F" w:rsidRDefault="00AC306F" w:rsidP="000B6DA2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</w:p>
          <w:p w:rsidR="000B6DA2" w:rsidRDefault="00844FBC" w:rsidP="000B6DA2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Section </w:t>
            </w:r>
            <w:r w:rsidR="000B6DA2">
              <w:rPr>
                <w:rFonts w:cstheme="minorHAnsi"/>
                <w:sz w:val="18"/>
                <w:szCs w:val="18"/>
              </w:rPr>
              <w:t xml:space="preserve">3.1 </w:t>
            </w:r>
            <w:r w:rsidR="00DB5207">
              <w:rPr>
                <w:rFonts w:cstheme="minorHAnsi"/>
                <w:sz w:val="18"/>
                <w:szCs w:val="18"/>
              </w:rPr>
              <w:t>Administrative</w:t>
            </w:r>
            <w:r w:rsidR="000B6DA2">
              <w:rPr>
                <w:rFonts w:cstheme="minorHAnsi"/>
                <w:sz w:val="18"/>
                <w:szCs w:val="18"/>
              </w:rPr>
              <w:t>/Clerical salary Support Integral to a Project provides additional details</w:t>
            </w:r>
            <w:r>
              <w:rPr>
                <w:rFonts w:cstheme="minorHAnsi"/>
                <w:sz w:val="18"/>
                <w:szCs w:val="18"/>
              </w:rPr>
              <w:t xml:space="preserve"> and guidelines </w:t>
            </w:r>
            <w:r w:rsidR="000B6DA2">
              <w:rPr>
                <w:rFonts w:cstheme="minorHAnsi"/>
                <w:sz w:val="18"/>
                <w:szCs w:val="18"/>
              </w:rPr>
              <w:t>for the UG requirements listed above.</w:t>
            </w:r>
          </w:p>
          <w:p w:rsidR="00AC306F" w:rsidRDefault="00AC306F" w:rsidP="00AC306F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</w:p>
          <w:p w:rsidR="000B6DA2" w:rsidRPr="00AC306F" w:rsidRDefault="00844FBC" w:rsidP="00AC306F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Section </w:t>
            </w:r>
            <w:r w:rsidR="000B6DA2">
              <w:rPr>
                <w:rFonts w:cstheme="minorHAnsi"/>
                <w:sz w:val="18"/>
                <w:szCs w:val="18"/>
              </w:rPr>
              <w:t xml:space="preserve">3.2 General </w:t>
            </w:r>
            <w:r>
              <w:rPr>
                <w:rFonts w:cstheme="minorHAnsi"/>
                <w:sz w:val="18"/>
                <w:szCs w:val="18"/>
              </w:rPr>
              <w:t>Administrative</w:t>
            </w:r>
            <w:r w:rsidR="000B6DA2">
              <w:rPr>
                <w:rFonts w:cstheme="minorHAnsi"/>
                <w:sz w:val="18"/>
                <w:szCs w:val="18"/>
              </w:rPr>
              <w:t xml:space="preserve"> Expenses Integral to a Project</w:t>
            </w:r>
            <w:r w:rsidR="00AC306F">
              <w:rPr>
                <w:rFonts w:cstheme="minorHAnsi"/>
                <w:sz w:val="18"/>
                <w:szCs w:val="18"/>
              </w:rPr>
              <w:t xml:space="preserve">: </w:t>
            </w:r>
            <w:r w:rsidR="00AC306F">
              <w:rPr>
                <w:sz w:val="18"/>
                <w:szCs w:val="18"/>
              </w:rPr>
              <w:t xml:space="preserve"> </w:t>
            </w:r>
            <w:r w:rsidR="000B6DA2" w:rsidRPr="00AC306F">
              <w:rPr>
                <w:sz w:val="18"/>
                <w:szCs w:val="18"/>
              </w:rPr>
              <w:t xml:space="preserve">Items such as office supplies, postage, local telephone costs, and memberships must normally be treated as F&amp;A costs. If directly related to a specific award, certain costs that otherwise would be treated as F&amp;A costs may be allowed as direct costs, providing the cost satisfies the same conditions applicable to administrative and clerical staff exceptions as stated in section 3.1. </w:t>
            </w:r>
          </w:p>
          <w:p w:rsidR="000B6DA2" w:rsidRDefault="000B6DA2" w:rsidP="000B6DA2">
            <w:pPr>
              <w:pStyle w:val="ListParagraph"/>
              <w:jc w:val="both"/>
              <w:rPr>
                <w:rFonts w:cstheme="minorHAnsi"/>
                <w:sz w:val="18"/>
                <w:szCs w:val="18"/>
              </w:rPr>
            </w:pPr>
          </w:p>
          <w:p w:rsidR="00AE1F30" w:rsidRPr="009F4551" w:rsidRDefault="00AE1F30" w:rsidP="000B6DA2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200CFC" w:rsidRDefault="00200CFC" w:rsidP="008D6925">
      <w:pPr>
        <w:spacing w:line="240" w:lineRule="auto"/>
        <w:contextualSpacing/>
        <w:rPr>
          <w:b/>
        </w:rPr>
      </w:pPr>
    </w:p>
    <w:p w:rsidR="00200CFC" w:rsidRDefault="00200CFC" w:rsidP="008D6925">
      <w:pPr>
        <w:spacing w:line="240" w:lineRule="auto"/>
        <w:contextualSpacing/>
        <w:rPr>
          <w:b/>
        </w:rPr>
      </w:pPr>
    </w:p>
    <w:p w:rsidR="00BA6697" w:rsidRDefault="00BA6697" w:rsidP="008D6925">
      <w:pPr>
        <w:spacing w:line="240" w:lineRule="auto"/>
        <w:contextualSpacing/>
        <w:rPr>
          <w:b/>
        </w:rPr>
      </w:pPr>
    </w:p>
    <w:p w:rsidR="00BA6697" w:rsidRDefault="00BA6697" w:rsidP="008D6925">
      <w:pPr>
        <w:spacing w:line="240" w:lineRule="auto"/>
        <w:contextualSpacing/>
        <w:rPr>
          <w:b/>
        </w:rPr>
      </w:pPr>
    </w:p>
    <w:p w:rsidR="00E46C66" w:rsidRDefault="001351BF" w:rsidP="008D6925">
      <w:pPr>
        <w:spacing w:line="240" w:lineRule="auto"/>
        <w:contextualSpacing/>
        <w:rPr>
          <w:b/>
        </w:rPr>
      </w:pPr>
      <w:r w:rsidRPr="009D07F7">
        <w:rPr>
          <w:b/>
        </w:rPr>
        <w:t xml:space="preserve">Section II. </w:t>
      </w:r>
      <w:r w:rsidR="00601371" w:rsidRPr="009D07F7">
        <w:rPr>
          <w:b/>
        </w:rPr>
        <w:t>Expense Details</w:t>
      </w:r>
      <w:r w:rsidR="00E922F6" w:rsidRPr="009D07F7">
        <w:rPr>
          <w:b/>
        </w:rPr>
        <w:t>:</w:t>
      </w:r>
    </w:p>
    <w:p w:rsidR="005823D4" w:rsidRPr="009D07F7" w:rsidRDefault="005823D4" w:rsidP="008D6925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990"/>
        <w:gridCol w:w="1170"/>
        <w:gridCol w:w="7218"/>
      </w:tblGrid>
      <w:tr w:rsidR="00F31708" w:rsidRPr="009F4551" w:rsidTr="005823D4">
        <w:tc>
          <w:tcPr>
            <w:tcW w:w="13176" w:type="dxa"/>
            <w:gridSpan w:val="5"/>
            <w:shd w:val="clear" w:color="auto" w:fill="BFBFBF" w:themeFill="background1" w:themeFillShade="BF"/>
          </w:tcPr>
          <w:p w:rsidR="00F31708" w:rsidRDefault="005823D4" w:rsidP="005823D4">
            <w:pPr>
              <w:tabs>
                <w:tab w:val="center" w:pos="64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F31708" w:rsidRPr="005823D4">
              <w:rPr>
                <w:b/>
                <w:sz w:val="18"/>
                <w:szCs w:val="18"/>
              </w:rPr>
              <w:t>LABOR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  <w:tr w:rsidR="00601371" w:rsidRPr="009F4551" w:rsidTr="00BF28E4">
        <w:tc>
          <w:tcPr>
            <w:tcW w:w="1908" w:type="dxa"/>
          </w:tcPr>
          <w:p w:rsidR="00601371" w:rsidRPr="009F4551" w:rsidRDefault="00601371" w:rsidP="005911C7">
            <w:pPr>
              <w:jc w:val="center"/>
              <w:rPr>
                <w:b/>
                <w:sz w:val="18"/>
                <w:szCs w:val="18"/>
              </w:rPr>
            </w:pPr>
            <w:r w:rsidRPr="009F4551">
              <w:rPr>
                <w:b/>
                <w:sz w:val="18"/>
                <w:szCs w:val="18"/>
              </w:rPr>
              <w:t>Employee Name</w:t>
            </w:r>
          </w:p>
        </w:tc>
        <w:tc>
          <w:tcPr>
            <w:tcW w:w="1890" w:type="dxa"/>
          </w:tcPr>
          <w:p w:rsidR="00601371" w:rsidRPr="009F4551" w:rsidRDefault="00601371" w:rsidP="005911C7">
            <w:pPr>
              <w:jc w:val="center"/>
              <w:rPr>
                <w:b/>
                <w:sz w:val="18"/>
                <w:szCs w:val="18"/>
              </w:rPr>
            </w:pPr>
            <w:r w:rsidRPr="009F4551">
              <w:rPr>
                <w:b/>
                <w:sz w:val="18"/>
                <w:szCs w:val="18"/>
              </w:rPr>
              <w:t>Position Title</w:t>
            </w:r>
          </w:p>
        </w:tc>
        <w:tc>
          <w:tcPr>
            <w:tcW w:w="990" w:type="dxa"/>
          </w:tcPr>
          <w:p w:rsidR="00601371" w:rsidRPr="009F4551" w:rsidRDefault="005911C7" w:rsidP="00591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Estimated </w:t>
            </w:r>
            <w:r w:rsidR="00601371" w:rsidRPr="009F4551">
              <w:rPr>
                <w:b/>
                <w:sz w:val="18"/>
                <w:szCs w:val="18"/>
              </w:rPr>
              <w:t>Percent of Effort</w:t>
            </w:r>
          </w:p>
        </w:tc>
        <w:tc>
          <w:tcPr>
            <w:tcW w:w="1170" w:type="dxa"/>
          </w:tcPr>
          <w:p w:rsidR="00601371" w:rsidRDefault="00601371" w:rsidP="00591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Amount</w:t>
            </w:r>
          </w:p>
        </w:tc>
        <w:tc>
          <w:tcPr>
            <w:tcW w:w="7218" w:type="dxa"/>
          </w:tcPr>
          <w:p w:rsidR="005911C7" w:rsidRDefault="00601371" w:rsidP="00591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Justification</w:t>
            </w:r>
          </w:p>
          <w:p w:rsidR="00601371" w:rsidRPr="009F4551" w:rsidRDefault="00601371" w:rsidP="00DB5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explain </w:t>
            </w:r>
            <w:r w:rsidR="00DB5207">
              <w:rPr>
                <w:b/>
                <w:sz w:val="18"/>
                <w:szCs w:val="18"/>
              </w:rPr>
              <w:t>how the position</w:t>
            </w:r>
            <w:r w:rsidR="00844FBC">
              <w:rPr>
                <w:b/>
                <w:sz w:val="18"/>
                <w:szCs w:val="18"/>
              </w:rPr>
              <w:t>(s)</w:t>
            </w:r>
            <w:r w:rsidR="00DB5207">
              <w:rPr>
                <w:b/>
                <w:sz w:val="18"/>
                <w:szCs w:val="18"/>
              </w:rPr>
              <w:t xml:space="preserve"> </w:t>
            </w:r>
            <w:r w:rsidR="00844FBC">
              <w:rPr>
                <w:b/>
                <w:sz w:val="18"/>
                <w:szCs w:val="18"/>
              </w:rPr>
              <w:t xml:space="preserve">satisfy </w:t>
            </w:r>
            <w:r w:rsidR="00DB5207">
              <w:rPr>
                <w:b/>
                <w:sz w:val="18"/>
                <w:szCs w:val="18"/>
              </w:rPr>
              <w:t>UG requirements 1-4 above.</w:t>
            </w:r>
          </w:p>
        </w:tc>
      </w:tr>
      <w:tr w:rsidR="00601371" w:rsidRPr="009F4551" w:rsidTr="004C44EC">
        <w:trPr>
          <w:trHeight w:val="432"/>
        </w:trPr>
        <w:tc>
          <w:tcPr>
            <w:tcW w:w="1908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</w:tr>
      <w:tr w:rsidR="00601371" w:rsidRPr="009F4551" w:rsidTr="004C44EC">
        <w:trPr>
          <w:trHeight w:val="432"/>
        </w:trPr>
        <w:tc>
          <w:tcPr>
            <w:tcW w:w="1908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</w:tr>
      <w:tr w:rsidR="00601371" w:rsidRPr="009F4551" w:rsidTr="004C44EC">
        <w:trPr>
          <w:trHeight w:val="432"/>
        </w:trPr>
        <w:tc>
          <w:tcPr>
            <w:tcW w:w="1908" w:type="dxa"/>
          </w:tcPr>
          <w:p w:rsidR="00222E6F" w:rsidRPr="009F4551" w:rsidRDefault="00222E6F" w:rsidP="00E46C6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601371" w:rsidRPr="009F4551" w:rsidRDefault="00601371" w:rsidP="00E46C66">
            <w:pPr>
              <w:rPr>
                <w:sz w:val="18"/>
                <w:szCs w:val="18"/>
              </w:rPr>
            </w:pPr>
          </w:p>
        </w:tc>
      </w:tr>
    </w:tbl>
    <w:p w:rsidR="00E46C66" w:rsidRPr="009D07F7" w:rsidRDefault="00E46C66" w:rsidP="00E46C66">
      <w:pPr>
        <w:pStyle w:val="ListParagraph"/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99"/>
        <w:gridCol w:w="1881"/>
        <w:gridCol w:w="9378"/>
      </w:tblGrid>
      <w:tr w:rsidR="00F31708" w:rsidRPr="009F4551" w:rsidTr="005823D4">
        <w:tc>
          <w:tcPr>
            <w:tcW w:w="13158" w:type="dxa"/>
            <w:gridSpan w:val="3"/>
            <w:shd w:val="clear" w:color="auto" w:fill="BFBFBF" w:themeFill="background1" w:themeFillShade="BF"/>
          </w:tcPr>
          <w:p w:rsidR="00F31708" w:rsidRPr="009F4551" w:rsidRDefault="00F31708" w:rsidP="005911C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SUPPLIES and EXPENSES</w:t>
            </w:r>
          </w:p>
        </w:tc>
      </w:tr>
      <w:tr w:rsidR="00601371" w:rsidRPr="009F4551" w:rsidTr="00BF28E4">
        <w:tc>
          <w:tcPr>
            <w:tcW w:w="1899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F4551">
              <w:rPr>
                <w:b/>
                <w:sz w:val="18"/>
                <w:szCs w:val="18"/>
              </w:rPr>
              <w:t>Budget Item</w:t>
            </w:r>
          </w:p>
        </w:tc>
        <w:tc>
          <w:tcPr>
            <w:tcW w:w="1881" w:type="dxa"/>
          </w:tcPr>
          <w:p w:rsidR="00601371" w:rsidRPr="009F4551" w:rsidRDefault="00601371" w:rsidP="00223E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Amount</w:t>
            </w:r>
          </w:p>
        </w:tc>
        <w:tc>
          <w:tcPr>
            <w:tcW w:w="9378" w:type="dxa"/>
          </w:tcPr>
          <w:p w:rsidR="005911C7" w:rsidRDefault="00601371" w:rsidP="005911C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9F4551">
              <w:rPr>
                <w:b/>
                <w:sz w:val="18"/>
                <w:szCs w:val="18"/>
              </w:rPr>
              <w:t>Justification</w:t>
            </w:r>
          </w:p>
          <w:p w:rsidR="00601371" w:rsidRPr="009F4551" w:rsidRDefault="00DB5207" w:rsidP="00844FB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explain how the </w:t>
            </w:r>
            <w:r w:rsidR="00844FBC">
              <w:rPr>
                <w:b/>
                <w:sz w:val="18"/>
                <w:szCs w:val="18"/>
              </w:rPr>
              <w:t>non-personnel administrative expenses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4FBC">
              <w:rPr>
                <w:b/>
                <w:sz w:val="18"/>
                <w:szCs w:val="18"/>
              </w:rPr>
              <w:t>satisfy</w:t>
            </w:r>
            <w:bookmarkStart w:id="0" w:name="_GoBack"/>
            <w:bookmarkEnd w:id="0"/>
            <w:r w:rsidR="006D4F04">
              <w:rPr>
                <w:b/>
                <w:sz w:val="18"/>
                <w:szCs w:val="18"/>
              </w:rPr>
              <w:t xml:space="preserve"> UG requirements 3</w:t>
            </w:r>
            <w:r>
              <w:rPr>
                <w:b/>
                <w:sz w:val="18"/>
                <w:szCs w:val="18"/>
              </w:rPr>
              <w:t>-4 above.</w:t>
            </w:r>
          </w:p>
        </w:tc>
      </w:tr>
      <w:tr w:rsidR="00601371" w:rsidRPr="009F4551" w:rsidTr="00BF28E4">
        <w:trPr>
          <w:trHeight w:val="432"/>
        </w:trPr>
        <w:tc>
          <w:tcPr>
            <w:tcW w:w="1899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378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601371" w:rsidRPr="009F4551" w:rsidTr="00BF28E4">
        <w:trPr>
          <w:trHeight w:val="432"/>
        </w:trPr>
        <w:tc>
          <w:tcPr>
            <w:tcW w:w="1899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378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601371" w:rsidRPr="009F4551" w:rsidTr="00BF28E4">
        <w:trPr>
          <w:trHeight w:val="432"/>
        </w:trPr>
        <w:tc>
          <w:tcPr>
            <w:tcW w:w="1899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378" w:type="dxa"/>
          </w:tcPr>
          <w:p w:rsidR="00601371" w:rsidRPr="009F4551" w:rsidRDefault="00601371" w:rsidP="00E46C6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:rsidR="005823D4" w:rsidRDefault="005823D4" w:rsidP="005823D4">
      <w:pPr>
        <w:spacing w:line="240" w:lineRule="auto"/>
        <w:contextualSpacing/>
        <w:rPr>
          <w:b/>
        </w:rPr>
      </w:pPr>
    </w:p>
    <w:p w:rsidR="002B5DC1" w:rsidRDefault="00AE1F30" w:rsidP="001734D1">
      <w:pPr>
        <w:spacing w:line="240" w:lineRule="auto"/>
        <w:contextualSpacing/>
        <w:rPr>
          <w:b/>
          <w:sz w:val="18"/>
          <w:szCs w:val="18"/>
        </w:rPr>
      </w:pPr>
      <w:r w:rsidRPr="009D07F7">
        <w:rPr>
          <w:b/>
        </w:rPr>
        <w:t xml:space="preserve">Section III. </w:t>
      </w:r>
      <w:r w:rsidR="00E46C66" w:rsidRPr="009D07F7">
        <w:rPr>
          <w:b/>
        </w:rPr>
        <w:t>Required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40"/>
        <w:gridCol w:w="2340"/>
        <w:gridCol w:w="3780"/>
        <w:gridCol w:w="900"/>
        <w:gridCol w:w="1278"/>
      </w:tblGrid>
      <w:tr w:rsidR="00435EC1" w:rsidTr="00711BCC">
        <w:tc>
          <w:tcPr>
            <w:tcW w:w="2538" w:type="dxa"/>
          </w:tcPr>
          <w:p w:rsidR="00435EC1" w:rsidRPr="009F4551" w:rsidRDefault="00435EC1" w:rsidP="00D25467">
            <w:pPr>
              <w:rPr>
                <w:b/>
                <w:sz w:val="18"/>
                <w:szCs w:val="18"/>
              </w:rPr>
            </w:pPr>
            <w:r w:rsidRPr="009F4551">
              <w:rPr>
                <w:b/>
                <w:sz w:val="18"/>
                <w:szCs w:val="18"/>
              </w:rPr>
              <w:t xml:space="preserve">Principal </w:t>
            </w:r>
            <w:r>
              <w:rPr>
                <w:b/>
                <w:sz w:val="18"/>
                <w:szCs w:val="18"/>
              </w:rPr>
              <w:t>Investigator Printed Name</w:t>
            </w:r>
          </w:p>
        </w:tc>
        <w:tc>
          <w:tcPr>
            <w:tcW w:w="2340" w:type="dxa"/>
          </w:tcPr>
          <w:p w:rsidR="00435EC1" w:rsidRDefault="00435EC1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435EC1" w:rsidRPr="009F4551" w:rsidRDefault="00435E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 Investigator Signature</w:t>
            </w:r>
          </w:p>
        </w:tc>
        <w:tc>
          <w:tcPr>
            <w:tcW w:w="3780" w:type="dxa"/>
          </w:tcPr>
          <w:p w:rsidR="00435EC1" w:rsidRDefault="00435EC1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35EC1" w:rsidRDefault="00435EC1">
            <w:pPr>
              <w:rPr>
                <w:b/>
                <w:sz w:val="18"/>
                <w:szCs w:val="18"/>
              </w:rPr>
            </w:pPr>
            <w:r w:rsidRPr="009F455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78" w:type="dxa"/>
          </w:tcPr>
          <w:p w:rsidR="00435EC1" w:rsidRDefault="00435EC1">
            <w:pPr>
              <w:rPr>
                <w:b/>
                <w:sz w:val="18"/>
                <w:szCs w:val="18"/>
              </w:rPr>
            </w:pPr>
          </w:p>
        </w:tc>
      </w:tr>
      <w:tr w:rsidR="00435EC1" w:rsidTr="00711BCC">
        <w:tc>
          <w:tcPr>
            <w:tcW w:w="2538" w:type="dxa"/>
          </w:tcPr>
          <w:p w:rsidR="00435EC1" w:rsidRPr="009F4551" w:rsidRDefault="00435EC1" w:rsidP="00D25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Authorized Authority Printed Name</w:t>
            </w:r>
          </w:p>
        </w:tc>
        <w:tc>
          <w:tcPr>
            <w:tcW w:w="2340" w:type="dxa"/>
          </w:tcPr>
          <w:p w:rsidR="00435EC1" w:rsidRDefault="00435EC1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435EC1" w:rsidRPr="009F4551" w:rsidRDefault="00435E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Authorized Authority Signature</w:t>
            </w:r>
          </w:p>
        </w:tc>
        <w:tc>
          <w:tcPr>
            <w:tcW w:w="3780" w:type="dxa"/>
          </w:tcPr>
          <w:p w:rsidR="00435EC1" w:rsidRDefault="00435EC1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35EC1" w:rsidRDefault="00435E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78" w:type="dxa"/>
          </w:tcPr>
          <w:p w:rsidR="00435EC1" w:rsidRDefault="00435EC1">
            <w:pPr>
              <w:rPr>
                <w:b/>
                <w:sz w:val="18"/>
                <w:szCs w:val="18"/>
              </w:rPr>
            </w:pPr>
          </w:p>
        </w:tc>
      </w:tr>
      <w:tr w:rsidR="00D25467" w:rsidTr="00711BCC">
        <w:tc>
          <w:tcPr>
            <w:tcW w:w="2538" w:type="dxa"/>
          </w:tcPr>
          <w:p w:rsidR="00D25467" w:rsidRDefault="00D25467" w:rsidP="00D25467">
            <w:pPr>
              <w:rPr>
                <w:b/>
                <w:sz w:val="18"/>
                <w:szCs w:val="18"/>
              </w:rPr>
            </w:pPr>
            <w:r w:rsidRPr="009F4551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 w:rsidRPr="009F4551">
              <w:rPr>
                <w:b/>
                <w:sz w:val="18"/>
                <w:szCs w:val="18"/>
              </w:rPr>
              <w:t>P</w:t>
            </w:r>
            <w:r w:rsidR="007A24A1">
              <w:rPr>
                <w:b/>
                <w:sz w:val="18"/>
                <w:szCs w:val="18"/>
              </w:rPr>
              <w:t xml:space="preserve"> Pre </w:t>
            </w:r>
            <w:r>
              <w:rPr>
                <w:b/>
                <w:sz w:val="18"/>
                <w:szCs w:val="18"/>
              </w:rPr>
              <w:t>Award Authorized Authority Printed Name</w:t>
            </w:r>
          </w:p>
        </w:tc>
        <w:tc>
          <w:tcPr>
            <w:tcW w:w="2340" w:type="dxa"/>
          </w:tcPr>
          <w:p w:rsidR="00D25467" w:rsidRDefault="00D25467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D25467" w:rsidRDefault="00D25467">
            <w:pPr>
              <w:rPr>
                <w:b/>
                <w:sz w:val="18"/>
                <w:szCs w:val="18"/>
              </w:rPr>
            </w:pPr>
            <w:r w:rsidRPr="009F4551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 w:rsidRPr="009F4551">
              <w:rPr>
                <w:b/>
                <w:sz w:val="18"/>
                <w:szCs w:val="18"/>
              </w:rPr>
              <w:t>P</w:t>
            </w:r>
            <w:r w:rsidR="007A24A1">
              <w:rPr>
                <w:b/>
                <w:sz w:val="18"/>
                <w:szCs w:val="18"/>
              </w:rPr>
              <w:t xml:space="preserve"> Pre</w:t>
            </w:r>
            <w:r w:rsidR="00711B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Award Authorized Signature</w:t>
            </w:r>
          </w:p>
        </w:tc>
        <w:tc>
          <w:tcPr>
            <w:tcW w:w="3780" w:type="dxa"/>
          </w:tcPr>
          <w:p w:rsidR="00D25467" w:rsidRDefault="00D25467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25467" w:rsidRDefault="00D25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78" w:type="dxa"/>
          </w:tcPr>
          <w:p w:rsidR="00D25467" w:rsidRDefault="00D25467">
            <w:pPr>
              <w:rPr>
                <w:b/>
                <w:sz w:val="18"/>
                <w:szCs w:val="18"/>
              </w:rPr>
            </w:pPr>
          </w:p>
        </w:tc>
      </w:tr>
      <w:tr w:rsidR="00711BCC" w:rsidTr="006E307C">
        <w:trPr>
          <w:trHeight w:val="449"/>
        </w:trPr>
        <w:tc>
          <w:tcPr>
            <w:tcW w:w="2538" w:type="dxa"/>
          </w:tcPr>
          <w:p w:rsidR="00711BCC" w:rsidRPr="009F4551" w:rsidRDefault="007A24A1" w:rsidP="00D25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OSP Post Award Authorized Authority </w:t>
            </w:r>
            <w:r w:rsidR="00711BCC">
              <w:rPr>
                <w:b/>
                <w:sz w:val="18"/>
                <w:szCs w:val="18"/>
              </w:rPr>
              <w:t>Printed Name</w:t>
            </w:r>
          </w:p>
        </w:tc>
        <w:tc>
          <w:tcPr>
            <w:tcW w:w="2340" w:type="dxa"/>
          </w:tcPr>
          <w:p w:rsidR="00711BCC" w:rsidRDefault="00711BCC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711BCC" w:rsidRPr="009F4551" w:rsidRDefault="007A24A1" w:rsidP="003A3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OSP Post Award</w:t>
            </w:r>
            <w:r w:rsidR="00711BCC">
              <w:rPr>
                <w:b/>
                <w:sz w:val="18"/>
                <w:szCs w:val="18"/>
              </w:rPr>
              <w:t xml:space="preserve"> Authorized Signature</w:t>
            </w:r>
          </w:p>
        </w:tc>
        <w:tc>
          <w:tcPr>
            <w:tcW w:w="3780" w:type="dxa"/>
          </w:tcPr>
          <w:p w:rsidR="00711BCC" w:rsidRDefault="00711BC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11BCC" w:rsidRDefault="00711BCC" w:rsidP="00024D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78" w:type="dxa"/>
          </w:tcPr>
          <w:p w:rsidR="00711BCC" w:rsidRDefault="00711BCC">
            <w:pPr>
              <w:rPr>
                <w:b/>
                <w:sz w:val="18"/>
                <w:szCs w:val="18"/>
              </w:rPr>
            </w:pPr>
          </w:p>
        </w:tc>
      </w:tr>
    </w:tbl>
    <w:p w:rsidR="00D25467" w:rsidRDefault="00D25467">
      <w:pPr>
        <w:spacing w:line="240" w:lineRule="auto"/>
        <w:rPr>
          <w:b/>
          <w:sz w:val="18"/>
          <w:szCs w:val="18"/>
        </w:rPr>
      </w:pPr>
    </w:p>
    <w:sectPr w:rsidR="00D25467" w:rsidSect="00222E6F">
      <w:headerReference w:type="default" r:id="rId10"/>
      <w:footerReference w:type="default" r:id="rId11"/>
      <w:pgSz w:w="15840" w:h="12240" w:orient="landscape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7C" w:rsidRDefault="000F417C" w:rsidP="00E306BD">
      <w:pPr>
        <w:spacing w:after="0" w:line="240" w:lineRule="auto"/>
      </w:pPr>
      <w:r>
        <w:separator/>
      </w:r>
    </w:p>
  </w:endnote>
  <w:endnote w:type="continuationSeparator" w:id="0">
    <w:p w:rsidR="000F417C" w:rsidRDefault="000F417C" w:rsidP="00E3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C7" w:rsidRDefault="005911C7" w:rsidP="00E306BD">
    <w:pPr>
      <w:pStyle w:val="Style1"/>
      <w:kinsoku w:val="0"/>
      <w:autoSpaceDE/>
      <w:autoSpaceDN/>
      <w:adjustRightInd/>
      <w:spacing w:before="180"/>
      <w:rPr>
        <w:rFonts w:asciiTheme="minorHAnsi" w:hAnsiTheme="minorHAnsi" w:cstheme="minorHAnsi"/>
        <w:spacing w:val="-8"/>
        <w:w w:val="105"/>
        <w:sz w:val="18"/>
        <w:szCs w:val="18"/>
      </w:rPr>
    </w:pPr>
    <w:r>
      <w:rPr>
        <w:rFonts w:asciiTheme="minorHAnsi" w:hAnsiTheme="minorHAnsi" w:cstheme="minorHAnsi"/>
        <w:spacing w:val="-8"/>
        <w:w w:val="105"/>
        <w:sz w:val="18"/>
        <w:szCs w:val="18"/>
      </w:rPr>
      <w:t xml:space="preserve">                                                                                                 </w:t>
    </w:r>
  </w:p>
  <w:p w:rsidR="00E306BD" w:rsidRDefault="005911C7" w:rsidP="005911C7">
    <w:pPr>
      <w:pStyle w:val="Style1"/>
      <w:kinsoku w:val="0"/>
      <w:autoSpaceDE/>
      <w:autoSpaceDN/>
      <w:adjustRightInd/>
      <w:spacing w:before="180"/>
      <w:jc w:val="right"/>
      <w:rPr>
        <w:rFonts w:asciiTheme="minorHAnsi" w:hAnsiTheme="minorHAnsi" w:cstheme="minorHAnsi"/>
        <w:b/>
        <w:spacing w:val="-8"/>
        <w:w w:val="105"/>
        <w:sz w:val="18"/>
        <w:szCs w:val="18"/>
      </w:rPr>
    </w:pPr>
    <w:r w:rsidRPr="005911C7">
      <w:rPr>
        <w:rFonts w:asciiTheme="minorHAnsi" w:hAnsiTheme="minorHAnsi" w:cstheme="minorHAnsi"/>
        <w:b/>
        <w:spacing w:val="-8"/>
        <w:w w:val="105"/>
        <w:sz w:val="18"/>
        <w:szCs w:val="18"/>
      </w:rPr>
      <w:t xml:space="preserve">Effective </w:t>
    </w:r>
    <w:r w:rsidR="007A24A1">
      <w:rPr>
        <w:rFonts w:asciiTheme="minorHAnsi" w:hAnsiTheme="minorHAnsi" w:cstheme="minorHAnsi"/>
        <w:b/>
        <w:spacing w:val="-8"/>
        <w:w w:val="105"/>
        <w:sz w:val="18"/>
        <w:szCs w:val="18"/>
      </w:rPr>
      <w:t>April 5</w:t>
    </w:r>
    <w:r w:rsidR="00D36D3E">
      <w:rPr>
        <w:rFonts w:asciiTheme="minorHAnsi" w:hAnsiTheme="minorHAnsi" w:cstheme="minorHAnsi"/>
        <w:b/>
        <w:spacing w:val="-8"/>
        <w:w w:val="105"/>
        <w:sz w:val="18"/>
        <w:szCs w:val="18"/>
      </w:rPr>
      <w:t>, 2017</w:t>
    </w:r>
  </w:p>
  <w:p w:rsidR="003679A3" w:rsidRPr="005911C7" w:rsidRDefault="003679A3" w:rsidP="005911C7">
    <w:pPr>
      <w:pStyle w:val="Style1"/>
      <w:kinsoku w:val="0"/>
      <w:autoSpaceDE/>
      <w:autoSpaceDN/>
      <w:adjustRightInd/>
      <w:spacing w:before="180"/>
      <w:jc w:val="right"/>
      <w:rPr>
        <w:rFonts w:asciiTheme="minorHAnsi" w:hAnsiTheme="minorHAnsi" w:cstheme="minorHAnsi"/>
        <w:b/>
        <w:spacing w:val="-8"/>
        <w:w w:val="105"/>
        <w:sz w:val="18"/>
        <w:szCs w:val="18"/>
      </w:rPr>
    </w:pPr>
    <w:r>
      <w:rPr>
        <w:rFonts w:asciiTheme="minorHAnsi" w:hAnsiTheme="minorHAnsi" w:cstheme="minorHAnsi"/>
        <w:b/>
        <w:spacing w:val="-8"/>
        <w:w w:val="105"/>
        <w:sz w:val="18"/>
        <w:szCs w:val="18"/>
      </w:rPr>
      <w:t xml:space="preserve">Page </w:t>
    </w:r>
    <w:r w:rsidRPr="003679A3">
      <w:rPr>
        <w:rFonts w:asciiTheme="minorHAnsi" w:hAnsiTheme="minorHAnsi" w:cstheme="minorHAnsi"/>
        <w:b/>
        <w:spacing w:val="-8"/>
        <w:w w:val="105"/>
        <w:sz w:val="18"/>
        <w:szCs w:val="18"/>
      </w:rPr>
      <w:fldChar w:fldCharType="begin"/>
    </w:r>
    <w:r w:rsidRPr="003679A3">
      <w:rPr>
        <w:rFonts w:asciiTheme="minorHAnsi" w:hAnsiTheme="minorHAnsi" w:cstheme="minorHAnsi"/>
        <w:b/>
        <w:spacing w:val="-8"/>
        <w:w w:val="105"/>
        <w:sz w:val="18"/>
        <w:szCs w:val="18"/>
      </w:rPr>
      <w:instrText xml:space="preserve"> PAGE   \* MERGEFORMAT </w:instrText>
    </w:r>
    <w:r w:rsidRPr="003679A3">
      <w:rPr>
        <w:rFonts w:asciiTheme="minorHAnsi" w:hAnsiTheme="minorHAnsi" w:cstheme="minorHAnsi"/>
        <w:b/>
        <w:spacing w:val="-8"/>
        <w:w w:val="105"/>
        <w:sz w:val="18"/>
        <w:szCs w:val="18"/>
      </w:rPr>
      <w:fldChar w:fldCharType="separate"/>
    </w:r>
    <w:r w:rsidR="006D4F04">
      <w:rPr>
        <w:rFonts w:asciiTheme="minorHAnsi" w:hAnsiTheme="minorHAnsi" w:cstheme="minorHAnsi"/>
        <w:b/>
        <w:noProof/>
        <w:spacing w:val="-8"/>
        <w:w w:val="105"/>
        <w:sz w:val="18"/>
        <w:szCs w:val="18"/>
      </w:rPr>
      <w:t>1</w:t>
    </w:r>
    <w:r w:rsidRPr="003679A3">
      <w:rPr>
        <w:rFonts w:asciiTheme="minorHAnsi" w:hAnsiTheme="minorHAnsi" w:cstheme="minorHAnsi"/>
        <w:b/>
        <w:noProof/>
        <w:spacing w:val="-8"/>
        <w:w w:val="105"/>
        <w:sz w:val="18"/>
        <w:szCs w:val="18"/>
      </w:rPr>
      <w:fldChar w:fldCharType="end"/>
    </w:r>
    <w:r>
      <w:rPr>
        <w:rFonts w:asciiTheme="minorHAnsi" w:hAnsiTheme="minorHAnsi" w:cstheme="minorHAnsi"/>
        <w:b/>
        <w:noProof/>
        <w:spacing w:val="-8"/>
        <w:w w:val="105"/>
        <w:sz w:val="18"/>
        <w:szCs w:val="18"/>
      </w:rPr>
      <w:t xml:space="preserve"> of </w:t>
    </w:r>
    <w:r w:rsidR="00D36D3E">
      <w:rPr>
        <w:rFonts w:asciiTheme="minorHAnsi" w:hAnsiTheme="minorHAnsi" w:cstheme="minorHAnsi"/>
        <w:b/>
        <w:noProof/>
        <w:spacing w:val="-8"/>
        <w:w w:val="105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7C" w:rsidRDefault="000F417C" w:rsidP="00E306BD">
      <w:pPr>
        <w:spacing w:after="0" w:line="240" w:lineRule="auto"/>
      </w:pPr>
      <w:r>
        <w:separator/>
      </w:r>
    </w:p>
  </w:footnote>
  <w:footnote w:type="continuationSeparator" w:id="0">
    <w:p w:rsidR="000F417C" w:rsidRDefault="000F417C" w:rsidP="00E3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F7" w:rsidRDefault="004C44EC" w:rsidP="009D07F7">
    <w:pPr>
      <w:spacing w:line="240" w:lineRule="auto"/>
      <w:contextualSpacing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575233CC" wp14:editId="079A08D5">
          <wp:extent cx="13716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_marn208_shield1.5i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1C7" w:rsidRDefault="004C44EC" w:rsidP="009D07F7">
    <w:pPr>
      <w:spacing w:line="240" w:lineRule="auto"/>
      <w:contextualSpacing/>
      <w:jc w:val="center"/>
    </w:pPr>
    <w:r w:rsidRPr="008D6925">
      <w:rPr>
        <w:b/>
        <w:sz w:val="32"/>
        <w:szCs w:val="32"/>
      </w:rPr>
      <w:t>Form B – Cost Accounting Exemption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E80"/>
    <w:multiLevelType w:val="hybridMultilevel"/>
    <w:tmpl w:val="764E13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E7972"/>
    <w:multiLevelType w:val="hybridMultilevel"/>
    <w:tmpl w:val="C470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6D"/>
    <w:rsid w:val="00014E7E"/>
    <w:rsid w:val="00062D5F"/>
    <w:rsid w:val="0007776D"/>
    <w:rsid w:val="000B3670"/>
    <w:rsid w:val="000B6DA2"/>
    <w:rsid w:val="000F417C"/>
    <w:rsid w:val="00103856"/>
    <w:rsid w:val="00106314"/>
    <w:rsid w:val="001146F4"/>
    <w:rsid w:val="001351BF"/>
    <w:rsid w:val="001734D1"/>
    <w:rsid w:val="001A66E3"/>
    <w:rsid w:val="001C6196"/>
    <w:rsid w:val="00200CFC"/>
    <w:rsid w:val="00222E6F"/>
    <w:rsid w:val="00223E73"/>
    <w:rsid w:val="00267633"/>
    <w:rsid w:val="002B5DC1"/>
    <w:rsid w:val="0032397E"/>
    <w:rsid w:val="003679A3"/>
    <w:rsid w:val="00372B0A"/>
    <w:rsid w:val="003B38A3"/>
    <w:rsid w:val="003D0C33"/>
    <w:rsid w:val="003D6CEB"/>
    <w:rsid w:val="003E6677"/>
    <w:rsid w:val="004135A8"/>
    <w:rsid w:val="00435EC1"/>
    <w:rsid w:val="004803C4"/>
    <w:rsid w:val="004C44EC"/>
    <w:rsid w:val="004C6FE3"/>
    <w:rsid w:val="004F644C"/>
    <w:rsid w:val="00516A33"/>
    <w:rsid w:val="00524D27"/>
    <w:rsid w:val="00542C72"/>
    <w:rsid w:val="0054533E"/>
    <w:rsid w:val="00576CDA"/>
    <w:rsid w:val="005823D4"/>
    <w:rsid w:val="00585506"/>
    <w:rsid w:val="005911C7"/>
    <w:rsid w:val="00601371"/>
    <w:rsid w:val="00644118"/>
    <w:rsid w:val="00667F34"/>
    <w:rsid w:val="0069613C"/>
    <w:rsid w:val="006A2603"/>
    <w:rsid w:val="006A51CA"/>
    <w:rsid w:val="006A70F9"/>
    <w:rsid w:val="006D4F04"/>
    <w:rsid w:val="006E3891"/>
    <w:rsid w:val="007119F7"/>
    <w:rsid w:val="00711BCC"/>
    <w:rsid w:val="007231ED"/>
    <w:rsid w:val="00736D5F"/>
    <w:rsid w:val="00745E87"/>
    <w:rsid w:val="00757C2F"/>
    <w:rsid w:val="007A24A1"/>
    <w:rsid w:val="007D4F4A"/>
    <w:rsid w:val="007E0E65"/>
    <w:rsid w:val="00804486"/>
    <w:rsid w:val="008431CA"/>
    <w:rsid w:val="00844FBC"/>
    <w:rsid w:val="008452BD"/>
    <w:rsid w:val="0089161E"/>
    <w:rsid w:val="008D6925"/>
    <w:rsid w:val="008E413B"/>
    <w:rsid w:val="009A2392"/>
    <w:rsid w:val="009D07F7"/>
    <w:rsid w:val="009F4551"/>
    <w:rsid w:val="009F656B"/>
    <w:rsid w:val="00A37B9F"/>
    <w:rsid w:val="00AB27A8"/>
    <w:rsid w:val="00AC2AC6"/>
    <w:rsid w:val="00AC306F"/>
    <w:rsid w:val="00AE1F30"/>
    <w:rsid w:val="00AE492D"/>
    <w:rsid w:val="00B30652"/>
    <w:rsid w:val="00BA6697"/>
    <w:rsid w:val="00BD7415"/>
    <w:rsid w:val="00BF28E4"/>
    <w:rsid w:val="00C100CB"/>
    <w:rsid w:val="00C11A50"/>
    <w:rsid w:val="00C855FC"/>
    <w:rsid w:val="00C9124C"/>
    <w:rsid w:val="00C95AC7"/>
    <w:rsid w:val="00D25467"/>
    <w:rsid w:val="00D36D3E"/>
    <w:rsid w:val="00D60248"/>
    <w:rsid w:val="00DB5207"/>
    <w:rsid w:val="00E02B24"/>
    <w:rsid w:val="00E306BD"/>
    <w:rsid w:val="00E46C66"/>
    <w:rsid w:val="00E922F6"/>
    <w:rsid w:val="00F31708"/>
    <w:rsid w:val="00F43E92"/>
    <w:rsid w:val="00FB2ECC"/>
    <w:rsid w:val="00FD6216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9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0CB"/>
    <w:pPr>
      <w:ind w:left="720"/>
      <w:contextualSpacing/>
    </w:pPr>
    <w:rPr>
      <w:rFonts w:eastAsiaTheme="minorHAnsi"/>
    </w:rPr>
  </w:style>
  <w:style w:type="paragraph" w:customStyle="1" w:styleId="Style1">
    <w:name w:val="Style 1"/>
    <w:basedOn w:val="Normal"/>
    <w:uiPriority w:val="99"/>
    <w:rsid w:val="00F4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BD"/>
  </w:style>
  <w:style w:type="paragraph" w:styleId="Footer">
    <w:name w:val="footer"/>
    <w:basedOn w:val="Normal"/>
    <w:link w:val="FooterChar"/>
    <w:uiPriority w:val="99"/>
    <w:unhideWhenUsed/>
    <w:rsid w:val="00E3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BD"/>
  </w:style>
  <w:style w:type="paragraph" w:customStyle="1" w:styleId="Default">
    <w:name w:val="Default"/>
    <w:rsid w:val="000B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6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9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0CB"/>
    <w:pPr>
      <w:ind w:left="720"/>
      <w:contextualSpacing/>
    </w:pPr>
    <w:rPr>
      <w:rFonts w:eastAsiaTheme="minorHAnsi"/>
    </w:rPr>
  </w:style>
  <w:style w:type="paragraph" w:customStyle="1" w:styleId="Style1">
    <w:name w:val="Style 1"/>
    <w:basedOn w:val="Normal"/>
    <w:uiPriority w:val="99"/>
    <w:rsid w:val="00F4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BD"/>
  </w:style>
  <w:style w:type="paragraph" w:styleId="Footer">
    <w:name w:val="footer"/>
    <w:basedOn w:val="Normal"/>
    <w:link w:val="FooterChar"/>
    <w:uiPriority w:val="99"/>
    <w:unhideWhenUsed/>
    <w:rsid w:val="00E3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BD"/>
  </w:style>
  <w:style w:type="paragraph" w:customStyle="1" w:styleId="Default">
    <w:name w:val="Default"/>
    <w:rsid w:val="000B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icies.vt.edu/324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72E1-7221-4B42-8ED0-33CBDE9B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 Office of Research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Divyabala Amin</dc:creator>
  <cp:lastModifiedBy>Paige Selvey</cp:lastModifiedBy>
  <cp:revision>12</cp:revision>
  <cp:lastPrinted>2017-03-03T21:30:00Z</cp:lastPrinted>
  <dcterms:created xsi:type="dcterms:W3CDTF">2017-03-03T21:33:00Z</dcterms:created>
  <dcterms:modified xsi:type="dcterms:W3CDTF">2017-04-21T15:02:00Z</dcterms:modified>
</cp:coreProperties>
</file>